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5F" w:rsidRDefault="006518A3" w:rsidP="006518A3">
      <w:pPr>
        <w:pStyle w:val="BasicParagraph"/>
        <w:rPr>
          <w:rFonts w:ascii="Arial" w:hAnsi="Arial" w:cs="Arial"/>
          <w:color w:val="00657E"/>
          <w:sz w:val="48"/>
          <w:szCs w:val="48"/>
        </w:rPr>
      </w:pPr>
      <w:r w:rsidRPr="006518A3">
        <w:rPr>
          <w:rFonts w:ascii="Arial" w:hAnsi="Arial" w:cs="Arial"/>
          <w:color w:val="00657E"/>
          <w:sz w:val="36"/>
          <w:szCs w:val="36"/>
        </w:rPr>
        <w:t>Chlamydia and Gonorrhea</w:t>
      </w:r>
      <w:r w:rsidRPr="006518A3">
        <w:rPr>
          <w:rFonts w:ascii="Arial" w:hAnsi="Arial" w:cs="Arial"/>
          <w:color w:val="00657E"/>
          <w:sz w:val="38"/>
          <w:szCs w:val="38"/>
        </w:rPr>
        <w:t xml:space="preserve"> </w:t>
      </w:r>
      <w:r w:rsidRPr="006518A3">
        <w:rPr>
          <w:rFonts w:ascii="Arial" w:hAnsi="Arial" w:cs="Arial"/>
          <w:color w:val="00657E"/>
          <w:sz w:val="60"/>
          <w:szCs w:val="60"/>
        </w:rPr>
        <w:br/>
      </w:r>
      <w:r w:rsidRPr="006518A3">
        <w:rPr>
          <w:rFonts w:ascii="Arial" w:hAnsi="Arial" w:cs="Arial"/>
          <w:color w:val="00657E"/>
          <w:sz w:val="48"/>
          <w:szCs w:val="48"/>
        </w:rPr>
        <w:t>Quick Tips to Implement Universal Screening</w:t>
      </w:r>
    </w:p>
    <w:p w:rsidR="006518A3" w:rsidRDefault="006518A3" w:rsidP="006518A3">
      <w:pPr>
        <w:pStyle w:val="BasicParagraph"/>
        <w:rPr>
          <w:rFonts w:ascii="Arial" w:hAnsi="Arial" w:cs="Arial"/>
          <w:color w:val="00657E"/>
          <w:sz w:val="48"/>
          <w:szCs w:val="48"/>
        </w:rPr>
      </w:pPr>
    </w:p>
    <w:p w:rsidR="006518A3" w:rsidRPr="006518A3" w:rsidRDefault="006518A3" w:rsidP="006518A3">
      <w:pPr>
        <w:pStyle w:val="BasicParagraph"/>
        <w:suppressAutoHyphens/>
        <w:spacing w:after="180"/>
        <w:ind w:left="280" w:hanging="2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00657E"/>
          <w:sz w:val="20"/>
          <w:szCs w:val="20"/>
        </w:rPr>
        <w:t>Key Conversation Topics</w:t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The following sample language is helpful during exams when discussing sensitive topics with patients, such as chlamydia (CT) and gonorrhea (NG) screening.</w:t>
      </w:r>
    </w:p>
    <w:p w:rsidR="006518A3" w:rsidRPr="006518A3" w:rsidRDefault="006518A3" w:rsidP="006518A3">
      <w:pPr>
        <w:pStyle w:val="BasicParagraph"/>
        <w:numPr>
          <w:ilvl w:val="0"/>
          <w:numId w:val="2"/>
        </w:numPr>
        <w:suppressAutoHyphens/>
        <w:spacing w:before="90"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 xml:space="preserve">“We automatically screen </w:t>
      </w:r>
      <w:r w:rsidRPr="006518A3">
        <w:rPr>
          <w:rFonts w:ascii="Arial" w:hAnsi="Arial" w:cs="Arial"/>
          <w:i/>
          <w:iCs/>
          <w:color w:val="636469"/>
          <w:sz w:val="20"/>
          <w:szCs w:val="20"/>
        </w:rPr>
        <w:t>all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female patients ages 15-24 for chlamydia and gonorrhea every year, regardless of their sexual history. Getting screened is an important part of staying healthy.”</w:t>
      </w:r>
    </w:p>
    <w:p w:rsidR="006518A3" w:rsidRPr="006518A3" w:rsidRDefault="006518A3" w:rsidP="006518A3">
      <w:pPr>
        <w:pStyle w:val="BasicParagraph"/>
        <w:numPr>
          <w:ilvl w:val="0"/>
          <w:numId w:val="2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“Chlamydia and gonorrhea are common infections that usually have no symptoms, so you could be infected even if you don’t have symptoms.”</w:t>
      </w:r>
    </w:p>
    <w:p w:rsidR="006518A3" w:rsidRPr="006518A3" w:rsidRDefault="006518A3" w:rsidP="006518A3">
      <w:pPr>
        <w:pStyle w:val="BasicParagraph"/>
        <w:numPr>
          <w:ilvl w:val="0"/>
          <w:numId w:val="2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“STI testing is easy. We can test a urine sample or self-collected vaginal swab.”</w:t>
      </w:r>
    </w:p>
    <w:p w:rsidR="006518A3" w:rsidRPr="006518A3" w:rsidRDefault="006518A3" w:rsidP="006518A3">
      <w:pPr>
        <w:pStyle w:val="BasicParagraph"/>
        <w:numPr>
          <w:ilvl w:val="0"/>
          <w:numId w:val="2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“Chlamydia and gonorrhea can cause lifelong problems like infertility if they aren’t detected and treated. Luckily, they can be treated easily with antibiotics if they are detected early.”</w:t>
      </w:r>
    </w:p>
    <w:p w:rsidR="006518A3" w:rsidRPr="006518A3" w:rsidRDefault="006518A3" w:rsidP="006518A3">
      <w:pPr>
        <w:pStyle w:val="BasicParagraph"/>
        <w:numPr>
          <w:ilvl w:val="0"/>
          <w:numId w:val="2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“We will contact you privately if any tests are positive and provide treatment for you and any sexual partners.”</w:t>
      </w:r>
      <w:r w:rsidRPr="006518A3">
        <w:rPr>
          <w:rFonts w:ascii="Arial" w:hAnsi="Arial" w:cs="Arial"/>
          <w:color w:val="636469"/>
          <w:sz w:val="20"/>
          <w:szCs w:val="20"/>
        </w:rPr>
        <w:br/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00657E"/>
          <w:sz w:val="20"/>
          <w:szCs w:val="20"/>
        </w:rPr>
        <w:t>Patient Confidentiality</w:t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There are several opportunities to help patients and their parents feel comfortable during their exams. These tactics may also increase the use of recommended services among adolescents.</w:t>
      </w:r>
      <w:r w:rsidRPr="006518A3">
        <w:rPr>
          <w:rFonts w:ascii="Arial" w:hAnsi="Arial" w:cs="Arial"/>
          <w:color w:val="636469"/>
          <w:sz w:val="20"/>
          <w:szCs w:val="20"/>
          <w:vertAlign w:val="superscript"/>
        </w:rPr>
        <w:t>1</w:t>
      </w:r>
    </w:p>
    <w:p w:rsidR="006518A3" w:rsidRPr="006518A3" w:rsidRDefault="006518A3" w:rsidP="006518A3">
      <w:pPr>
        <w:pStyle w:val="BasicParagraph"/>
        <w:numPr>
          <w:ilvl w:val="0"/>
          <w:numId w:val="3"/>
        </w:numPr>
        <w:suppressAutoHyphens/>
        <w:spacing w:before="90"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636469"/>
          <w:sz w:val="20"/>
          <w:szCs w:val="20"/>
        </w:rPr>
        <w:t>Provide a letter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to parents about the importance of confidentiality during their children’s exams and the Universal Screening policy, while assuring them that discussions are age appropriate.</w:t>
      </w:r>
    </w:p>
    <w:p w:rsidR="006518A3" w:rsidRPr="006518A3" w:rsidRDefault="006518A3" w:rsidP="006518A3">
      <w:pPr>
        <w:pStyle w:val="BasicParagraph"/>
        <w:numPr>
          <w:ilvl w:val="0"/>
          <w:numId w:val="3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636469"/>
          <w:sz w:val="20"/>
          <w:szCs w:val="20"/>
        </w:rPr>
        <w:t>Develop an office policy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specifying that staff will not discuss or release sensitive health information to parents without the patient’s permission.</w:t>
      </w:r>
    </w:p>
    <w:p w:rsidR="006518A3" w:rsidRPr="006518A3" w:rsidRDefault="006518A3" w:rsidP="006518A3">
      <w:pPr>
        <w:pStyle w:val="BasicParagraph"/>
        <w:numPr>
          <w:ilvl w:val="0"/>
          <w:numId w:val="3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636469"/>
          <w:sz w:val="20"/>
          <w:szCs w:val="20"/>
        </w:rPr>
        <w:t>Encourage patients to communicate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openly about sensitive topics like sexually transmitted infections, pregnancy and more with their parents.</w:t>
      </w:r>
    </w:p>
    <w:p w:rsidR="006518A3" w:rsidRPr="006518A3" w:rsidRDefault="006518A3" w:rsidP="006518A3">
      <w:pPr>
        <w:pStyle w:val="BasicParagraph"/>
        <w:numPr>
          <w:ilvl w:val="0"/>
          <w:numId w:val="3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636469"/>
          <w:sz w:val="20"/>
          <w:szCs w:val="20"/>
        </w:rPr>
        <w:t>Limit the number of individuals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who speak with the patient about sensitive topics, such as healthcare providers (HCP), registered nurses and nurse’s assistants.</w:t>
      </w:r>
    </w:p>
    <w:p w:rsidR="006518A3" w:rsidRPr="006518A3" w:rsidRDefault="006518A3" w:rsidP="006518A3">
      <w:pPr>
        <w:pStyle w:val="BasicParagraph"/>
        <w:numPr>
          <w:ilvl w:val="0"/>
          <w:numId w:val="3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636469"/>
          <w:sz w:val="20"/>
          <w:szCs w:val="20"/>
        </w:rPr>
        <w:t>Ask for a personal contact number or email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to alert teenagers of test results and other private information following their visits.</w:t>
      </w:r>
    </w:p>
    <w:p w:rsidR="006518A3" w:rsidRPr="006518A3" w:rsidRDefault="006518A3" w:rsidP="006518A3">
      <w:pPr>
        <w:pStyle w:val="BasicParagraph"/>
        <w:numPr>
          <w:ilvl w:val="0"/>
          <w:numId w:val="3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636469"/>
          <w:sz w:val="20"/>
          <w:szCs w:val="20"/>
        </w:rPr>
        <w:t>Restrict or modify parental access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to a patient’s confidential information through EHR/EMR online portals if state laws allow.</w:t>
      </w:r>
    </w:p>
    <w:p w:rsidR="006518A3" w:rsidRPr="006518A3" w:rsidRDefault="006518A3" w:rsidP="006518A3">
      <w:pPr>
        <w:pStyle w:val="BasicParagraph"/>
        <w:numPr>
          <w:ilvl w:val="0"/>
          <w:numId w:val="3"/>
        </w:numPr>
        <w:rPr>
          <w:rFonts w:ascii="Arial" w:hAnsi="Arial" w:cs="Arial"/>
          <w:color w:val="00657E"/>
          <w:sz w:val="20"/>
          <w:szCs w:val="20"/>
        </w:rPr>
      </w:pPr>
      <w:r w:rsidRPr="006518A3">
        <w:rPr>
          <w:rFonts w:ascii="Arial" w:hAnsi="Arial" w:cs="Arial"/>
          <w:b/>
          <w:bCs/>
          <w:color w:val="636469"/>
          <w:sz w:val="20"/>
          <w:szCs w:val="20"/>
        </w:rPr>
        <w:t>As a last resort, if teens are still concerned about confidentiality</w:t>
      </w:r>
      <w:r w:rsidRPr="006518A3">
        <w:rPr>
          <w:rFonts w:ascii="Arial" w:hAnsi="Arial" w:cs="Arial"/>
          <w:color w:val="636469"/>
          <w:sz w:val="20"/>
          <w:szCs w:val="20"/>
        </w:rPr>
        <w:t>, recommend Title X-funded free clinics, which can ensure confidential visits and avoid issues of billing and explanation of benefits for services that may breech confidentiality.</w:t>
      </w:r>
    </w:p>
    <w:p w:rsidR="006518A3" w:rsidRDefault="006518A3" w:rsidP="006518A3">
      <w:pPr>
        <w:pStyle w:val="BasicParagraph"/>
        <w:suppressAutoHyphens/>
        <w:spacing w:after="180"/>
        <w:ind w:left="340"/>
        <w:rPr>
          <w:rFonts w:ascii="Arial" w:hAnsi="Arial" w:cs="Arial"/>
          <w:color w:val="636469"/>
          <w:sz w:val="20"/>
          <w:szCs w:val="20"/>
        </w:rPr>
      </w:pPr>
      <w:r>
        <w:rPr>
          <w:rFonts w:ascii="Arial" w:hAnsi="Arial" w:cs="Arial"/>
          <w:color w:val="636469"/>
          <w:sz w:val="20"/>
          <w:szCs w:val="20"/>
        </w:rPr>
        <w:br/>
      </w:r>
      <w:r w:rsidRPr="006518A3">
        <w:rPr>
          <w:rFonts w:ascii="Arial" w:hAnsi="Arial" w:cs="Arial"/>
          <w:color w:val="636469"/>
          <w:sz w:val="20"/>
          <w:szCs w:val="20"/>
        </w:rPr>
        <w:t>All states and the District of Columbia allow all minors to consent to STI services. Eighteen of these states allow, but do not require, a physician to inform a minor’s parents that he or she is seeking or receiving STI services when the doctor deems it in the minor’s best interest.</w:t>
      </w:r>
      <w:r w:rsidRPr="006518A3">
        <w:rPr>
          <w:rFonts w:ascii="Arial" w:hAnsi="Arial" w:cs="Arial"/>
          <w:color w:val="636469"/>
          <w:sz w:val="20"/>
          <w:szCs w:val="20"/>
          <w:vertAlign w:val="superscript"/>
        </w:rPr>
        <w:t>1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Refer to your state laws for more details.</w:t>
      </w:r>
    </w:p>
    <w:p w:rsidR="006518A3" w:rsidRDefault="006518A3" w:rsidP="006518A3">
      <w:pPr>
        <w:pStyle w:val="BasicParagraph"/>
        <w:suppressAutoHyphens/>
        <w:spacing w:after="180"/>
        <w:ind w:left="340"/>
        <w:rPr>
          <w:rFonts w:ascii="Arial" w:hAnsi="Arial" w:cs="Arial"/>
          <w:color w:val="636469"/>
          <w:sz w:val="20"/>
          <w:szCs w:val="20"/>
        </w:rPr>
      </w:pPr>
    </w:p>
    <w:p w:rsidR="006518A3" w:rsidRPr="006518A3" w:rsidRDefault="006518A3" w:rsidP="006518A3">
      <w:pPr>
        <w:pStyle w:val="BasicParagraph"/>
        <w:suppressAutoHyphens/>
        <w:spacing w:after="180"/>
        <w:ind w:left="280" w:hanging="2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00657E"/>
          <w:sz w:val="20"/>
          <w:szCs w:val="20"/>
        </w:rPr>
        <w:lastRenderedPageBreak/>
        <w:t>Proper Sample Handling</w:t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While collecting a sample from a patient for STI or any other testing, remember:</w:t>
      </w:r>
    </w:p>
    <w:p w:rsidR="006518A3" w:rsidRPr="006518A3" w:rsidRDefault="006518A3" w:rsidP="006518A3">
      <w:pPr>
        <w:pStyle w:val="BasicParagraph"/>
        <w:numPr>
          <w:ilvl w:val="0"/>
          <w:numId w:val="4"/>
        </w:numPr>
        <w:suppressAutoHyphens/>
        <w:spacing w:before="9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If collecting first-catch urine samples, follow the urine collection guide for the appropriate test.</w:t>
      </w:r>
    </w:p>
    <w:p w:rsidR="006518A3" w:rsidRPr="006518A3" w:rsidRDefault="006518A3" w:rsidP="006518A3">
      <w:pPr>
        <w:pStyle w:val="BasicParagraph"/>
        <w:numPr>
          <w:ilvl w:val="0"/>
          <w:numId w:val="4"/>
        </w:numPr>
        <w:suppressAutoHyphens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Ask patients who have urinated recently to use self-collected vaginal swabs to provide samples.</w:t>
      </w:r>
    </w:p>
    <w:p w:rsidR="006518A3" w:rsidRPr="006518A3" w:rsidRDefault="006518A3" w:rsidP="006518A3">
      <w:pPr>
        <w:pStyle w:val="BasicParagraph"/>
        <w:numPr>
          <w:ilvl w:val="0"/>
          <w:numId w:val="4"/>
        </w:numPr>
        <w:suppressAutoHyphens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Immediately refrigerate all samples.</w:t>
      </w:r>
    </w:p>
    <w:p w:rsidR="006518A3" w:rsidRPr="006518A3" w:rsidRDefault="006518A3" w:rsidP="006518A3">
      <w:pPr>
        <w:pStyle w:val="BasicParagraph"/>
        <w:numPr>
          <w:ilvl w:val="0"/>
          <w:numId w:val="4"/>
        </w:numPr>
        <w:suppressAutoHyphens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Ask for private contact numbers where you can reach patients to deliver results.</w:t>
      </w:r>
    </w:p>
    <w:p w:rsidR="006518A3" w:rsidRPr="006518A3" w:rsidRDefault="006518A3" w:rsidP="006518A3">
      <w:pPr>
        <w:pStyle w:val="BasicParagraph"/>
        <w:numPr>
          <w:ilvl w:val="0"/>
          <w:numId w:val="4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If you are unable to gather a sample before the patient sees the HCP, tell the HCP so he or she may collect a sample during the exam, if necessary.</w:t>
      </w:r>
      <w:r>
        <w:rPr>
          <w:rFonts w:ascii="Arial" w:hAnsi="Arial" w:cs="Arial"/>
          <w:color w:val="636469"/>
          <w:sz w:val="20"/>
          <w:szCs w:val="20"/>
        </w:rPr>
        <w:br/>
      </w:r>
    </w:p>
    <w:p w:rsidR="006518A3" w:rsidRPr="006518A3" w:rsidRDefault="006518A3" w:rsidP="006518A3">
      <w:pPr>
        <w:pStyle w:val="BasicParagraph"/>
        <w:suppressAutoHyphens/>
        <w:spacing w:before="180" w:after="180"/>
        <w:ind w:left="280" w:hanging="2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00657E"/>
          <w:sz w:val="20"/>
          <w:szCs w:val="20"/>
        </w:rPr>
        <w:t xml:space="preserve">Set Up Reminders in the EMR </w:t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 xml:space="preserve">Make the most of existing electronic medical record (EMR) systems in your practice. You can program built-in reminders and flags that remind employees of best practices and quality care reminders for age-based CT/NG screening. </w:t>
      </w:r>
      <w:r>
        <w:rPr>
          <w:rFonts w:ascii="Arial" w:hAnsi="Arial" w:cs="Arial"/>
          <w:color w:val="636469"/>
          <w:sz w:val="20"/>
          <w:szCs w:val="20"/>
        </w:rPr>
        <w:br/>
      </w:r>
    </w:p>
    <w:p w:rsidR="006518A3" w:rsidRPr="006518A3" w:rsidRDefault="006518A3" w:rsidP="006518A3">
      <w:pPr>
        <w:pStyle w:val="BasicParagraph"/>
        <w:suppressAutoHyphens/>
        <w:spacing w:before="180" w:after="180"/>
        <w:ind w:left="280" w:hanging="2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00657E"/>
          <w:sz w:val="20"/>
          <w:szCs w:val="20"/>
        </w:rPr>
        <w:t>Communicating Results</w:t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Create and follow a standardized protocol to deliver CT/NG screening results to patients. Specify:</w:t>
      </w:r>
    </w:p>
    <w:p w:rsidR="006518A3" w:rsidRPr="006518A3" w:rsidRDefault="006518A3" w:rsidP="006518A3">
      <w:pPr>
        <w:pStyle w:val="BasicParagraph"/>
        <w:numPr>
          <w:ilvl w:val="0"/>
          <w:numId w:val="5"/>
        </w:numPr>
        <w:suppressAutoHyphens/>
        <w:spacing w:before="9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How and when your team will ask patients during their exams for private contact information.</w:t>
      </w:r>
    </w:p>
    <w:p w:rsidR="006518A3" w:rsidRPr="006518A3" w:rsidRDefault="006518A3" w:rsidP="006518A3">
      <w:pPr>
        <w:pStyle w:val="BasicParagraph"/>
        <w:numPr>
          <w:ilvl w:val="0"/>
          <w:numId w:val="5"/>
        </w:numPr>
        <w:suppressAutoHyphens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pacing w:val="-4"/>
          <w:sz w:val="20"/>
          <w:szCs w:val="20"/>
        </w:rPr>
        <w:t>Which types of tests and results (e.g., normal, abnormal, positive, negative) are delivered in which way.</w:t>
      </w:r>
    </w:p>
    <w:p w:rsidR="006518A3" w:rsidRPr="006518A3" w:rsidRDefault="006518A3" w:rsidP="006518A3">
      <w:pPr>
        <w:pStyle w:val="BasicParagraph"/>
        <w:numPr>
          <w:ilvl w:val="0"/>
          <w:numId w:val="5"/>
        </w:numPr>
        <w:suppressAutoHyphens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Which members of your practice are responsible for delivering results.</w:t>
      </w:r>
    </w:p>
    <w:p w:rsidR="006518A3" w:rsidRPr="006518A3" w:rsidRDefault="006518A3" w:rsidP="006518A3">
      <w:pPr>
        <w:pStyle w:val="BasicParagraph"/>
        <w:numPr>
          <w:ilvl w:val="0"/>
          <w:numId w:val="5"/>
        </w:numPr>
        <w:suppressAutoHyphens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A time frame in which results must be delivered to patients.</w:t>
      </w:r>
    </w:p>
    <w:p w:rsidR="006518A3" w:rsidRPr="006518A3" w:rsidRDefault="006518A3" w:rsidP="006518A3">
      <w:pPr>
        <w:pStyle w:val="BasicParagraph"/>
        <w:numPr>
          <w:ilvl w:val="0"/>
          <w:numId w:val="5"/>
        </w:numPr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 xml:space="preserve">How patients with positive results will receive their prescriptions or in-office treatment. </w:t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Once you’ve established these best practices internally, communicate with your patients, so they know what to expect.</w:t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 xml:space="preserve">When delivering positive results, it’s important to treat young adult patients with respect. Be prepared to explain treatment options, answer questions and schedule follow-up appointments with patients during this call. </w:t>
      </w:r>
      <w:r>
        <w:rPr>
          <w:rFonts w:ascii="Arial" w:hAnsi="Arial" w:cs="Arial"/>
          <w:color w:val="636469"/>
          <w:sz w:val="20"/>
          <w:szCs w:val="20"/>
        </w:rPr>
        <w:br/>
      </w:r>
    </w:p>
    <w:p w:rsidR="006518A3" w:rsidRPr="006518A3" w:rsidRDefault="006518A3" w:rsidP="006518A3">
      <w:pPr>
        <w:pStyle w:val="BasicParagraph"/>
        <w:suppressAutoHyphens/>
        <w:spacing w:before="180" w:after="180"/>
        <w:ind w:left="280" w:hanging="2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b/>
          <w:bCs/>
          <w:color w:val="00657E"/>
          <w:sz w:val="20"/>
          <w:szCs w:val="20"/>
        </w:rPr>
        <w:t>Retesting After 3 Months</w:t>
      </w:r>
    </w:p>
    <w:p w:rsidR="006518A3" w:rsidRPr="006518A3" w:rsidRDefault="006518A3" w:rsidP="006518A3">
      <w:pPr>
        <w:pStyle w:val="BasicParagraph"/>
        <w:suppressAutoHyphens/>
        <w:spacing w:after="180"/>
        <w:rPr>
          <w:rFonts w:ascii="Arial" w:hAnsi="Arial" w:cs="Arial"/>
          <w:color w:val="636469"/>
          <w:sz w:val="20"/>
          <w:szCs w:val="20"/>
        </w:rPr>
      </w:pPr>
      <w:r w:rsidRPr="006518A3">
        <w:rPr>
          <w:rFonts w:ascii="Arial" w:hAnsi="Arial" w:cs="Arial"/>
          <w:color w:val="636469"/>
          <w:sz w:val="20"/>
          <w:szCs w:val="20"/>
        </w:rPr>
        <w:t>Several studies support the efficacy of patient reminders to improve retesting rates.</w:t>
      </w:r>
      <w:r w:rsidRPr="006518A3">
        <w:rPr>
          <w:rFonts w:ascii="Arial" w:hAnsi="Arial" w:cs="Arial"/>
          <w:color w:val="636469"/>
          <w:sz w:val="20"/>
          <w:szCs w:val="20"/>
          <w:vertAlign w:val="superscript"/>
        </w:rPr>
        <w:t>2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The CDC recommends retesting patients who test positive for CT/NG 3 months after treatment to assess for reinfection.</w:t>
      </w:r>
      <w:r w:rsidRPr="006518A3">
        <w:rPr>
          <w:rFonts w:ascii="Arial" w:hAnsi="Arial" w:cs="Arial"/>
          <w:color w:val="636469"/>
          <w:sz w:val="20"/>
          <w:szCs w:val="20"/>
          <w:vertAlign w:val="superscript"/>
        </w:rPr>
        <w:t>3</w:t>
      </w:r>
      <w:r w:rsidRPr="006518A3">
        <w:rPr>
          <w:rFonts w:ascii="Arial" w:hAnsi="Arial" w:cs="Arial"/>
          <w:color w:val="636469"/>
          <w:sz w:val="20"/>
          <w:szCs w:val="20"/>
        </w:rPr>
        <w:t xml:space="preserve"> You can set up follow-up appointment reminders using your EMR system or other scheduling system and alert patients via text message, email or phone call.</w:t>
      </w:r>
      <w:bookmarkStart w:id="0" w:name="_GoBack"/>
      <w:bookmarkEnd w:id="0"/>
    </w:p>
    <w:sectPr w:rsidR="006518A3" w:rsidRPr="006518A3" w:rsidSect="003E555F">
      <w:footerReference w:type="default" r:id="rId7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28" w:rsidRDefault="00281028" w:rsidP="006518A3">
      <w:r>
        <w:separator/>
      </w:r>
    </w:p>
  </w:endnote>
  <w:endnote w:type="continuationSeparator" w:id="0">
    <w:p w:rsidR="00281028" w:rsidRDefault="00281028" w:rsidP="0065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8A3" w:rsidRPr="006518A3" w:rsidRDefault="006518A3" w:rsidP="006518A3">
    <w:pPr>
      <w:suppressAutoHyphens/>
      <w:autoSpaceDE w:val="0"/>
      <w:autoSpaceDN w:val="0"/>
      <w:adjustRightInd w:val="0"/>
      <w:spacing w:line="288" w:lineRule="auto"/>
      <w:jc w:val="both"/>
      <w:textAlignment w:val="center"/>
      <w:rPr>
        <w:rFonts w:ascii="Arial" w:hAnsi="Arial" w:cs="Arial"/>
        <w:color w:val="757679"/>
        <w:sz w:val="12"/>
        <w:szCs w:val="12"/>
      </w:rPr>
    </w:pPr>
    <w:r w:rsidRPr="006518A3">
      <w:rPr>
        <w:rFonts w:ascii="Arial" w:hAnsi="Arial" w:cs="Arial"/>
        <w:b/>
        <w:bCs/>
        <w:color w:val="757679"/>
        <w:sz w:val="12"/>
        <w:szCs w:val="12"/>
      </w:rPr>
      <w:t>References: 1.</w:t>
    </w:r>
    <w:r w:rsidRPr="006518A3">
      <w:rPr>
        <w:rFonts w:ascii="Arial" w:hAnsi="Arial" w:cs="Arial"/>
        <w:color w:val="757679"/>
        <w:sz w:val="12"/>
        <w:szCs w:val="12"/>
      </w:rPr>
      <w:t xml:space="preserve"> Guttmacher Institute. An Overview of Minor’s Consent Law. https://www.guttmacher.org/state-policy/explore/overview-minors-consent-law. Updated September 1, 2018. Accessed August 22, 2018. </w:t>
    </w:r>
    <w:r w:rsidRPr="006518A3">
      <w:rPr>
        <w:rFonts w:ascii="Arial" w:hAnsi="Arial" w:cs="Arial"/>
        <w:b/>
        <w:bCs/>
        <w:color w:val="757679"/>
        <w:sz w:val="12"/>
        <w:szCs w:val="12"/>
      </w:rPr>
      <w:t xml:space="preserve">2. </w:t>
    </w:r>
    <w:r w:rsidRPr="006518A3">
      <w:rPr>
        <w:rFonts w:ascii="Arial" w:hAnsi="Arial" w:cs="Arial"/>
        <w:color w:val="757679"/>
        <w:sz w:val="12"/>
        <w:szCs w:val="12"/>
      </w:rPr>
      <w:t xml:space="preserve">California Department of Public Health. Best Practices and Early Detection of Repeat Chlamydial and Gonococcal Infections: Effective Partner Treatment and Patient Retesting Strategies for Implementation in California Health Care Settings. https://www.cdph.ca.gov/Programs/CID/DCDC/CDPH%20Document%20Library/Best_Practices_for_Preventing_RepeatCT_Inf.pdf. Revised February 2016. Accessed August 22, 2018. </w:t>
    </w:r>
    <w:r w:rsidRPr="006518A3">
      <w:rPr>
        <w:rFonts w:ascii="Arial" w:hAnsi="Arial" w:cs="Arial"/>
        <w:b/>
        <w:bCs/>
        <w:color w:val="757679"/>
        <w:sz w:val="12"/>
        <w:szCs w:val="12"/>
      </w:rPr>
      <w:t>3.</w:t>
    </w:r>
    <w:r w:rsidRPr="006518A3">
      <w:rPr>
        <w:rFonts w:ascii="Arial" w:hAnsi="Arial" w:cs="Arial"/>
        <w:color w:val="757679"/>
        <w:sz w:val="12"/>
        <w:szCs w:val="12"/>
      </w:rPr>
      <w:t xml:space="preserve"> CDC. Screening Recommendations and Considerations Referenced in Treatment Guidelines and Original Sources. https://www.cdc.gov/std/tg2015/screening-recommendations.htm. Updated August 22, 2016. Accessed August 22, 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28" w:rsidRDefault="00281028" w:rsidP="006518A3">
      <w:r>
        <w:separator/>
      </w:r>
    </w:p>
  </w:footnote>
  <w:footnote w:type="continuationSeparator" w:id="0">
    <w:p w:rsidR="00281028" w:rsidRDefault="00281028" w:rsidP="0065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0E59"/>
    <w:multiLevelType w:val="hybridMultilevel"/>
    <w:tmpl w:val="7C3C9CA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2A5192A"/>
    <w:multiLevelType w:val="hybridMultilevel"/>
    <w:tmpl w:val="7E78270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D2A30B3"/>
    <w:multiLevelType w:val="hybridMultilevel"/>
    <w:tmpl w:val="5FFA6D9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4C831DB"/>
    <w:multiLevelType w:val="hybridMultilevel"/>
    <w:tmpl w:val="9D9E61F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CD71B9A"/>
    <w:multiLevelType w:val="hybridMultilevel"/>
    <w:tmpl w:val="406A6D8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A3"/>
    <w:rsid w:val="000842A1"/>
    <w:rsid w:val="000D725F"/>
    <w:rsid w:val="00281028"/>
    <w:rsid w:val="003E555F"/>
    <w:rsid w:val="00444A5A"/>
    <w:rsid w:val="006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0801"/>
  <w15:chartTrackingRefBased/>
  <w15:docId w15:val="{EBA649EA-0E97-FE4F-867D-2B7AD1A9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518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6518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5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A3"/>
  </w:style>
  <w:style w:type="paragraph" w:styleId="Footer">
    <w:name w:val="footer"/>
    <w:basedOn w:val="Normal"/>
    <w:link w:val="FooterChar"/>
    <w:uiPriority w:val="99"/>
    <w:unhideWhenUsed/>
    <w:rsid w:val="0065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714</Words>
  <Characters>4036</Characters>
  <Application>Microsoft Office Word</Application>
  <DocSecurity>0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2018-10-01T22:05:00Z</dcterms:created>
  <dcterms:modified xsi:type="dcterms:W3CDTF">2018-10-01T22:19:00Z</dcterms:modified>
</cp:coreProperties>
</file>